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14B13" w:rsidRPr="00957400">
        <w:rPr>
          <w:rFonts w:ascii="Verdana" w:hAnsi="Verdana"/>
          <w:b/>
          <w:sz w:val="18"/>
          <w:szCs w:val="18"/>
        </w:rPr>
        <w:t xml:space="preserve">„Oprava osvětlení </w:t>
      </w:r>
      <w:proofErr w:type="spellStart"/>
      <w:r w:rsidR="00F14B13" w:rsidRPr="00957400">
        <w:rPr>
          <w:rFonts w:ascii="Verdana" w:hAnsi="Verdana"/>
          <w:b/>
          <w:sz w:val="18"/>
          <w:szCs w:val="18"/>
        </w:rPr>
        <w:t>zast</w:t>
      </w:r>
      <w:proofErr w:type="spellEnd"/>
      <w:r w:rsidR="00F14B13" w:rsidRPr="00957400">
        <w:rPr>
          <w:rFonts w:ascii="Verdana" w:hAnsi="Verdana"/>
          <w:b/>
          <w:sz w:val="18"/>
          <w:szCs w:val="18"/>
        </w:rPr>
        <w:t>. na trati Litovel předměstí – Kostelec na Hané“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4B13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C9CA9B-8340-4C25-8E78-F5A43480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2023-04-13T06:52:00Z</dcterms:modified>
</cp:coreProperties>
</file>